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件</w:t>
      </w:r>
      <w:r>
        <w:rPr>
          <w:rFonts w:hint="default" w:ascii="Times New Roman" w:hAnsi="Times New Roman" w:eastAsia="黑体" w:cs="Times New Roman"/>
          <w:sz w:val="32"/>
          <w:szCs w:val="32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0" w:firstLineChars="0"/>
        <w:jc w:val="center"/>
        <w:textAlignment w:val="auto"/>
        <w:rPr>
          <w:rFonts w:hint="eastAsia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地质灾害隐患点核销调查报告参考提纲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一、调查基本情况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二、隐患点基本情况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包括发生时间，类型、规模等特征，历史变化情况，威胁对象等。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三、地质环境条件及变化情况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四、按核销条件编写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对符合多项条件核销的隐患点，应分类说明相关情况。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（一）避让搬迁类。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避让搬迁工作概况：包括安置方式，投入资金，搬迁户数和人数，搬迁时间，搬迁后土地利用状况，其他威胁对象情况等。需提供载明危险区范围、危险区内构筑物拆除前后对比的航拍图件。（危险区内存在寺庙、宗祠、教堂、文保等特殊建筑的隐患点，需附有县级人民政府对特殊建筑安全管理的承诺书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附件5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（二）工程治理类。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596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spacing w:val="-11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pacing w:val="-11"/>
          <w:kern w:val="0"/>
          <w:sz w:val="32"/>
          <w:szCs w:val="32"/>
        </w:rPr>
        <w:t>治理工程概况：组织实施单位，应急排险和应急治理方案编制单位，完工情况；勘查设计、施工监理单位；治理工程概况，治理资金，施工和竣工时间；质量监控，工程质量及验收情况；监测和工程维护情况等。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（三）地质环境条件改变类。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调查监测情况：包括调查、勘查、监测或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群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测群防情况。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以及其他相关人类工程活动情况。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五、隐患点稳定性分析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六、结论及建议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附：地质灾害隐患点核销调查情况表（对同时实施搬迁避让和工程治理的，按工程治理类附表填写，在工程治理情况栏中同时说明避让搬迁等情况）。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iMjk5NTcwNWY1ZmE2ZDQxNTdhYjNhNDliZGM5YTIifQ=="/>
  </w:docVars>
  <w:rsids>
    <w:rsidRoot w:val="43ED7559"/>
    <w:rsid w:val="43ED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2022-08-03T09:26:00Z</dcterms:created>
  <dc:creator>南星</dc:creator>
  <cp:lastModifiedBy>南星</cp:lastModifiedBy>
  <dcterms:modified xsi:type="dcterms:W3CDTF">2022-08-03T09:26:54Z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CBD55479E33C476D9D722C244B937483</vt:lpwstr>
  </property>
</Properties>
</file>